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B4" w:rsidRDefault="003B7CB4" w:rsidP="003B7CB4">
      <w:pPr>
        <w:tabs>
          <w:tab w:val="left" w:pos="1395"/>
        </w:tabs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52705</wp:posOffset>
            </wp:positionH>
            <wp:positionV relativeFrom="paragraph">
              <wp:posOffset>-969645</wp:posOffset>
            </wp:positionV>
            <wp:extent cx="771525" cy="942975"/>
            <wp:effectExtent l="19050" t="0" r="952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CB4" w:rsidRDefault="003B7CB4" w:rsidP="003B7CB4">
      <w:pPr>
        <w:tabs>
          <w:tab w:val="left" w:pos="1395"/>
        </w:tabs>
      </w:pPr>
    </w:p>
    <w:p w:rsidR="00196856" w:rsidRDefault="00196856" w:rsidP="003B7CB4">
      <w:pPr>
        <w:tabs>
          <w:tab w:val="left" w:pos="1395"/>
        </w:tabs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Traktor Valtra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30 €/hod.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Traktor Zetor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45 €/motohod.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Fekál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45 €/motohod.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Traktor báger JCB 4cx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25 €/hod.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V3S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20 €/hod.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Plošina ávia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20 €/hod. (vrátane obsluhy)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Plošina príves, bez obsluhy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10 €/hod. alebo 50 €/deň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Vibračná doska</w:t>
            </w:r>
          </w:p>
        </w:tc>
        <w:tc>
          <w:tcPr>
            <w:tcW w:w="4606" w:type="dxa"/>
          </w:tcPr>
          <w:p w:rsidR="003B7CB4" w:rsidRPr="003B7CB4" w:rsidRDefault="006D1312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3B7CB4" w:rsidRPr="003B7CB4">
              <w:rPr>
                <w:b/>
                <w:sz w:val="28"/>
                <w:szCs w:val="28"/>
              </w:rPr>
              <w:t>8 €/hod.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Vibračné dusadlo</w:t>
            </w:r>
          </w:p>
        </w:tc>
        <w:tc>
          <w:tcPr>
            <w:tcW w:w="4606" w:type="dxa"/>
          </w:tcPr>
          <w:p w:rsidR="003B7CB4" w:rsidRPr="003B7CB4" w:rsidRDefault="006D1312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3B7CB4" w:rsidRPr="003B7CB4">
              <w:rPr>
                <w:b/>
                <w:sz w:val="28"/>
                <w:szCs w:val="28"/>
              </w:rPr>
              <w:t>7 €/hod.</w:t>
            </w:r>
          </w:p>
        </w:tc>
      </w:tr>
      <w:tr w:rsidR="003B7CB4" w:rsidTr="003B7CB4"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Elektrocentrála</w:t>
            </w:r>
          </w:p>
        </w:tc>
        <w:tc>
          <w:tcPr>
            <w:tcW w:w="4606" w:type="dxa"/>
          </w:tcPr>
          <w:p w:rsidR="003B7CB4" w:rsidRPr="003B7CB4" w:rsidRDefault="003B7CB4" w:rsidP="003B7CB4">
            <w:pPr>
              <w:tabs>
                <w:tab w:val="left" w:pos="1395"/>
              </w:tabs>
              <w:rPr>
                <w:b/>
                <w:sz w:val="28"/>
                <w:szCs w:val="28"/>
              </w:rPr>
            </w:pPr>
            <w:r w:rsidRPr="003B7CB4">
              <w:rPr>
                <w:b/>
                <w:sz w:val="28"/>
                <w:szCs w:val="28"/>
              </w:rPr>
              <w:t>10 €/hod.</w:t>
            </w:r>
          </w:p>
        </w:tc>
      </w:tr>
    </w:tbl>
    <w:p w:rsidR="003B7CB4" w:rsidRDefault="003B7CB4" w:rsidP="003B7CB4">
      <w:pPr>
        <w:tabs>
          <w:tab w:val="left" w:pos="1395"/>
        </w:tabs>
        <w:jc w:val="both"/>
      </w:pPr>
    </w:p>
    <w:sectPr w:rsidR="003B7CB4" w:rsidSect="00196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C82" w:rsidRDefault="00382C82" w:rsidP="003B7CB4">
      <w:pPr>
        <w:spacing w:after="0" w:line="240" w:lineRule="auto"/>
      </w:pPr>
      <w:r>
        <w:separator/>
      </w:r>
    </w:p>
  </w:endnote>
  <w:endnote w:type="continuationSeparator" w:id="0">
    <w:p w:rsidR="00382C82" w:rsidRDefault="00382C82" w:rsidP="003B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C82" w:rsidRDefault="00382C82" w:rsidP="003B7CB4">
      <w:pPr>
        <w:spacing w:after="0" w:line="240" w:lineRule="auto"/>
      </w:pPr>
      <w:r>
        <w:separator/>
      </w:r>
    </w:p>
  </w:footnote>
  <w:footnote w:type="continuationSeparator" w:id="0">
    <w:p w:rsidR="00382C82" w:rsidRDefault="00382C82" w:rsidP="003B7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B4" w:rsidRPr="003B7CB4" w:rsidRDefault="003B7CB4">
    <w:pPr>
      <w:pStyle w:val="Hlavika"/>
      <w:rPr>
        <w:b/>
        <w:sz w:val="32"/>
        <w:szCs w:val="32"/>
      </w:rPr>
    </w:pPr>
    <w:r>
      <w:tab/>
    </w:r>
    <w:r w:rsidRPr="003B7CB4">
      <w:rPr>
        <w:b/>
        <w:sz w:val="32"/>
        <w:szCs w:val="32"/>
      </w:rPr>
      <w:t>Cenník služieb</w:t>
    </w:r>
  </w:p>
  <w:p w:rsidR="003B7CB4" w:rsidRPr="003B7CB4" w:rsidRDefault="003B7CB4">
    <w:pPr>
      <w:pStyle w:val="Hlavika"/>
      <w:rPr>
        <w:b/>
        <w:sz w:val="32"/>
        <w:szCs w:val="32"/>
        <w:u w:val="single"/>
      </w:rPr>
    </w:pPr>
    <w:r w:rsidRPr="003B7CB4">
      <w:rPr>
        <w:b/>
        <w:sz w:val="32"/>
        <w:szCs w:val="32"/>
      </w:rPr>
      <w:tab/>
    </w:r>
    <w:r w:rsidRPr="003B7CB4">
      <w:rPr>
        <w:b/>
        <w:sz w:val="32"/>
        <w:szCs w:val="32"/>
        <w:u w:val="single"/>
      </w:rPr>
      <w:t>Obecné služby Oravská Polhora</w:t>
    </w:r>
  </w:p>
  <w:p w:rsidR="003B7CB4" w:rsidRPr="003B7CB4" w:rsidRDefault="003B7CB4">
    <w:pPr>
      <w:pStyle w:val="Hlavika"/>
      <w:rPr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CB4"/>
    <w:rsid w:val="00196856"/>
    <w:rsid w:val="00356581"/>
    <w:rsid w:val="00382C82"/>
    <w:rsid w:val="003B7CB4"/>
    <w:rsid w:val="0065670C"/>
    <w:rsid w:val="006D1312"/>
    <w:rsid w:val="00A16281"/>
    <w:rsid w:val="00B30E5C"/>
    <w:rsid w:val="00BB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8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3B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B7CB4"/>
  </w:style>
  <w:style w:type="paragraph" w:styleId="Pta">
    <w:name w:val="footer"/>
    <w:basedOn w:val="Normlny"/>
    <w:link w:val="PtaChar"/>
    <w:uiPriority w:val="99"/>
    <w:semiHidden/>
    <w:unhideWhenUsed/>
    <w:rsid w:val="003B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B7CB4"/>
  </w:style>
  <w:style w:type="table" w:styleId="Mriekatabuky">
    <w:name w:val="Table Grid"/>
    <w:basedOn w:val="Normlnatabuka"/>
    <w:uiPriority w:val="59"/>
    <w:rsid w:val="003B7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2017-02-22T13:15:00Z</dcterms:created>
  <dcterms:modified xsi:type="dcterms:W3CDTF">2017-02-22T13:26:00Z</dcterms:modified>
</cp:coreProperties>
</file>